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4F7" w14:textId="1757671A" w:rsidR="00565229" w:rsidRPr="00565229" w:rsidRDefault="00CA13C4" w:rsidP="00FE1240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SANTANA DO PARAÍSO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>
        <w:rPr>
          <w:rFonts w:ascii="Arial Narrow" w:hAnsi="Arial Narrow"/>
          <w:b/>
          <w:bCs/>
          <w:color w:val="000000"/>
          <w:sz w:val="24"/>
          <w:szCs w:val="24"/>
        </w:rPr>
        <w:t>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t>/2023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05</w:t>
      </w:r>
      <w:r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627078F2" w:rsidR="006D1B92" w:rsidRPr="00565229" w:rsidRDefault="00C54B3F" w:rsidP="00FE1240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F107C7" w:rsidRPr="00565229">
        <w:rPr>
          <w:rFonts w:ascii="Arial Narrow" w:hAnsi="Arial Narrow"/>
          <w:b/>
          <w:bCs/>
          <w:sz w:val="24"/>
          <w:szCs w:val="24"/>
        </w:rPr>
        <w:t xml:space="preserve"> </w:t>
      </w:r>
      <w:r w:rsidR="00680ED9" w:rsidRPr="00565229">
        <w:rPr>
          <w:rFonts w:ascii="Arial Narrow" w:hAnsi="Arial Narrow"/>
          <w:b/>
          <w:bCs/>
          <w:sz w:val="24"/>
          <w:szCs w:val="24"/>
        </w:rPr>
        <w:t>DE PREÇOS</w:t>
      </w:r>
    </w:p>
    <w:p w14:paraId="12A1DBF7" w14:textId="77777777"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992"/>
        <w:gridCol w:w="1559"/>
        <w:gridCol w:w="1276"/>
      </w:tblGrid>
      <w:tr w:rsidR="00145C23" w:rsidRPr="00F4632A" w14:paraId="6D4E6FB7" w14:textId="77777777" w:rsidTr="00FE1240">
        <w:trPr>
          <w:trHeight w:val="2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6097" w14:textId="74DD7CB2" w:rsidR="00FB36EB" w:rsidRPr="00E53389" w:rsidRDefault="00FE1240" w:rsidP="00684B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Lote /         Item</w:t>
            </w:r>
            <w:r w:rsidR="00FB36EB" w:rsidRPr="00E53389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511A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F46" w14:textId="6A565E10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07D1" w14:textId="77777777" w:rsidR="00B3711D" w:rsidRDefault="00FB36EB" w:rsidP="00684B7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Marca/</w:t>
            </w:r>
          </w:p>
          <w:p w14:paraId="77CDF125" w14:textId="3138B142" w:rsidR="00FB36EB" w:rsidRPr="00F4632A" w:rsidRDefault="00FB36EB" w:rsidP="00684B7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Modelo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21CC" w14:textId="1C59D31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Unit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6221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Global</w:t>
            </w:r>
          </w:p>
        </w:tc>
      </w:tr>
      <w:tr w:rsidR="00B3711D" w:rsidRPr="00F4632A" w14:paraId="6D0EC593" w14:textId="77777777" w:rsidTr="00FE1240">
        <w:trPr>
          <w:trHeight w:val="14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B69D" w14:textId="20AC0414" w:rsidR="00B3711D" w:rsidRPr="00FE1240" w:rsidRDefault="00FE1240" w:rsidP="00B3711D">
            <w:pPr>
              <w:rPr>
                <w:rFonts w:ascii="Arial Narrow" w:hAnsi="Arial Narrow"/>
              </w:rPr>
            </w:pPr>
            <w:r w:rsidRPr="00FE1240">
              <w:rPr>
                <w:rFonts w:ascii="Arial Narrow" w:hAnsi="Arial Narrow"/>
                <w:color w:val="000000"/>
              </w:rPr>
              <w:t>Lote 01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FE1240">
              <w:rPr>
                <w:rFonts w:ascii="Arial Narrow" w:hAnsi="Arial Narrow"/>
                <w:color w:val="000000"/>
              </w:rPr>
              <w:t>/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FE1240">
              <w:rPr>
                <w:rFonts w:ascii="Arial Narrow" w:hAnsi="Arial Narrow"/>
                <w:color w:val="000000"/>
              </w:rPr>
              <w:t>Item 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F6555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COMPUTADOR</w:t>
            </w:r>
          </w:p>
          <w:p w14:paraId="250F324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2 - Gabinete - Processador:</w:t>
            </w:r>
          </w:p>
          <w:p w14:paraId="5309148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Número de núcleos: 6</w:t>
            </w:r>
          </w:p>
          <w:p w14:paraId="1E64679E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Nº de Performance-cores: 6</w:t>
            </w:r>
          </w:p>
          <w:p w14:paraId="0CE7C835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Nº de </w:t>
            </w:r>
            <w:proofErr w:type="spellStart"/>
            <w:r w:rsidRPr="00DF2C41">
              <w:rPr>
                <w:rFonts w:ascii="Arial Narrow" w:hAnsi="Arial Narrow"/>
              </w:rPr>
              <w:t>Efficient</w:t>
            </w:r>
            <w:proofErr w:type="spellEnd"/>
            <w:r w:rsidRPr="00DF2C41">
              <w:rPr>
                <w:rFonts w:ascii="Arial Narrow" w:hAnsi="Arial Narrow"/>
              </w:rPr>
              <w:t>-cores: 0</w:t>
            </w:r>
          </w:p>
          <w:p w14:paraId="32F8486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Nº de threads: 12</w:t>
            </w:r>
          </w:p>
          <w:p w14:paraId="79FDBB1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Frequência turbo </w:t>
            </w:r>
            <w:proofErr w:type="spellStart"/>
            <w:r w:rsidRPr="00DF2C41">
              <w:rPr>
                <w:rFonts w:ascii="Arial Narrow" w:hAnsi="Arial Narrow"/>
              </w:rPr>
              <w:t>max</w:t>
            </w:r>
            <w:proofErr w:type="spellEnd"/>
            <w:r w:rsidRPr="00DF2C41">
              <w:rPr>
                <w:rFonts w:ascii="Arial Narrow" w:hAnsi="Arial Narrow"/>
              </w:rPr>
              <w:t>: 4.40 GHz</w:t>
            </w:r>
          </w:p>
          <w:p w14:paraId="15FFDD0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Frequência turbo máx. do Performance-core: 4.40 GHz</w:t>
            </w:r>
          </w:p>
          <w:p w14:paraId="13CFA79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Frequência base do Performance-core: 2.50 GHz</w:t>
            </w:r>
          </w:p>
          <w:p w14:paraId="205C44D6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Cache: 18 MB Intel® </w:t>
            </w:r>
            <w:proofErr w:type="spellStart"/>
            <w:r w:rsidRPr="00DF2C41">
              <w:rPr>
                <w:rFonts w:ascii="Arial Narrow" w:hAnsi="Arial Narrow"/>
              </w:rPr>
              <w:t>Smart</w:t>
            </w:r>
            <w:proofErr w:type="spellEnd"/>
            <w:r w:rsidRPr="00DF2C41">
              <w:rPr>
                <w:rFonts w:ascii="Arial Narrow" w:hAnsi="Arial Narrow"/>
              </w:rPr>
              <w:t xml:space="preserve"> Cache</w:t>
            </w:r>
          </w:p>
          <w:p w14:paraId="0EC9937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Cache L2 total: 7.5 MB</w:t>
            </w:r>
          </w:p>
          <w:p w14:paraId="662A3DC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Potência básica do processador: 65 W</w:t>
            </w:r>
          </w:p>
          <w:p w14:paraId="7D8FD79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Energia turbo máxima: 117 W</w:t>
            </w:r>
          </w:p>
          <w:p w14:paraId="124E00A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proofErr w:type="spellStart"/>
            <w:r w:rsidRPr="00DF2C41">
              <w:rPr>
                <w:rFonts w:ascii="Arial Narrow" w:hAnsi="Arial Narrow"/>
              </w:rPr>
              <w:t>Grafico</w:t>
            </w:r>
            <w:proofErr w:type="spellEnd"/>
            <w:r w:rsidRPr="00DF2C41">
              <w:rPr>
                <w:rFonts w:ascii="Arial Narrow" w:hAnsi="Arial Narrow"/>
              </w:rPr>
              <w:t xml:space="preserve">: </w:t>
            </w:r>
          </w:p>
          <w:p w14:paraId="557C40B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Gráficos integrados Intel UHD</w:t>
            </w:r>
          </w:p>
          <w:p w14:paraId="1ACB86D9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Chipset: </w:t>
            </w:r>
          </w:p>
          <w:p w14:paraId="0D00E88F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Intel B660 chipset. </w:t>
            </w:r>
          </w:p>
          <w:p w14:paraId="76E6727D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Memória: </w:t>
            </w:r>
          </w:p>
          <w:p w14:paraId="01C31CA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1 x 8GB UDIMM DDR4-3200. </w:t>
            </w:r>
          </w:p>
          <w:p w14:paraId="352DD94D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Slots de Memória: </w:t>
            </w:r>
          </w:p>
          <w:p w14:paraId="3AF63B2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Dois slots UDIMM DDR4, capacidade para dual </w:t>
            </w:r>
            <w:proofErr w:type="spellStart"/>
            <w:r w:rsidRPr="00DF2C41">
              <w:rPr>
                <w:rFonts w:ascii="Arial Narrow" w:hAnsi="Arial Narrow"/>
              </w:rPr>
              <w:t>channel</w:t>
            </w:r>
            <w:proofErr w:type="spellEnd"/>
            <w:r w:rsidRPr="00DF2C41">
              <w:rPr>
                <w:rFonts w:ascii="Arial Narrow" w:hAnsi="Arial Narrow"/>
              </w:rPr>
              <w:t>. Suportar para 64 GB DDR4-3200.</w:t>
            </w:r>
          </w:p>
          <w:p w14:paraId="1347883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Armazenamento:</w:t>
            </w:r>
          </w:p>
          <w:p w14:paraId="3A420318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256 GB SSD M.2 2280 </w:t>
            </w:r>
            <w:proofErr w:type="spellStart"/>
            <w:r w:rsidRPr="00DF2C41">
              <w:rPr>
                <w:rFonts w:ascii="Arial Narrow" w:hAnsi="Arial Narrow"/>
              </w:rPr>
              <w:t>PCIe</w:t>
            </w:r>
            <w:proofErr w:type="spellEnd"/>
            <w:r w:rsidRPr="00DF2C41">
              <w:rPr>
                <w:rFonts w:ascii="Arial Narrow" w:hAnsi="Arial Narrow"/>
              </w:rPr>
              <w:t xml:space="preserve">® 4.0x4 </w:t>
            </w:r>
            <w:proofErr w:type="spellStart"/>
            <w:r w:rsidRPr="00DF2C41">
              <w:rPr>
                <w:rFonts w:ascii="Arial Narrow" w:hAnsi="Arial Narrow"/>
              </w:rPr>
              <w:t>NVMe</w:t>
            </w:r>
            <w:proofErr w:type="spellEnd"/>
            <w:r w:rsidRPr="00DF2C41">
              <w:rPr>
                <w:rFonts w:ascii="Arial Narrow" w:hAnsi="Arial Narrow"/>
              </w:rPr>
              <w:t xml:space="preserve">® </w:t>
            </w:r>
            <w:proofErr w:type="spellStart"/>
            <w:r w:rsidRPr="00DF2C41">
              <w:rPr>
                <w:rFonts w:ascii="Arial Narrow" w:hAnsi="Arial Narrow"/>
              </w:rPr>
              <w:t>Opal</w:t>
            </w:r>
            <w:proofErr w:type="spellEnd"/>
            <w:r w:rsidRPr="00DF2C41">
              <w:rPr>
                <w:rFonts w:ascii="Arial Narrow" w:hAnsi="Arial Narrow"/>
              </w:rPr>
              <w:t xml:space="preserve"> 2.0. </w:t>
            </w:r>
          </w:p>
          <w:p w14:paraId="117D8A6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Suporte de armazenamento:</w:t>
            </w:r>
          </w:p>
          <w:p w14:paraId="1832A334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até duas unidades, 1 HDD de 2,5"/3,5" + 1 SSD M.2</w:t>
            </w:r>
          </w:p>
          <w:p w14:paraId="69ABADF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HDD de 2,5" até 1 TB</w:t>
            </w:r>
          </w:p>
          <w:p w14:paraId="7A3D159F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HDD de 3,5" até 2 TB</w:t>
            </w:r>
          </w:p>
          <w:p w14:paraId="1473668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SSD M.2 até 1 TB.</w:t>
            </w:r>
          </w:p>
          <w:p w14:paraId="2A303284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Chip de áudio:</w:t>
            </w:r>
          </w:p>
          <w:p w14:paraId="160EA8A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de alta definição (HD), codec </w:t>
            </w:r>
            <w:proofErr w:type="spellStart"/>
            <w:r w:rsidRPr="00DF2C41">
              <w:rPr>
                <w:rFonts w:ascii="Arial Narrow" w:hAnsi="Arial Narrow"/>
              </w:rPr>
              <w:t>Realtek</w:t>
            </w:r>
            <w:proofErr w:type="spellEnd"/>
            <w:r w:rsidRPr="00DF2C41">
              <w:rPr>
                <w:rFonts w:ascii="Arial Narrow" w:hAnsi="Arial Narrow"/>
              </w:rPr>
              <w:t xml:space="preserve">® ALC623-CG. </w:t>
            </w:r>
          </w:p>
          <w:p w14:paraId="4B68D91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Speaker:</w:t>
            </w:r>
          </w:p>
          <w:p w14:paraId="105C6F8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caixas de som 1Lx1.</w:t>
            </w:r>
          </w:p>
          <w:p w14:paraId="452FDF78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Fonte de energia: 260w com certificado 80 plus platinum </w:t>
            </w:r>
          </w:p>
          <w:p w14:paraId="589CCC5E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Teclado: </w:t>
            </w:r>
          </w:p>
          <w:p w14:paraId="125920D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Tradicional USB, Preto, Português (BR).</w:t>
            </w:r>
          </w:p>
          <w:p w14:paraId="004CD6A2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Mouse:  USB </w:t>
            </w:r>
            <w:proofErr w:type="spellStart"/>
            <w:r w:rsidRPr="00DF2C41">
              <w:rPr>
                <w:rFonts w:ascii="Arial Narrow" w:hAnsi="Arial Narrow"/>
              </w:rPr>
              <w:t>Calliope</w:t>
            </w:r>
            <w:proofErr w:type="spellEnd"/>
            <w:r w:rsidRPr="00DF2C41">
              <w:rPr>
                <w:rFonts w:ascii="Arial Narrow" w:hAnsi="Arial Narrow"/>
              </w:rPr>
              <w:t xml:space="preserve">, Preto. </w:t>
            </w:r>
          </w:p>
          <w:p w14:paraId="1ED2BD2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Slots de expansão: </w:t>
            </w:r>
          </w:p>
          <w:p w14:paraId="15AE37E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01 </w:t>
            </w:r>
            <w:proofErr w:type="spellStart"/>
            <w:r w:rsidRPr="00DF2C41">
              <w:rPr>
                <w:rFonts w:ascii="Arial Narrow" w:hAnsi="Arial Narrow"/>
              </w:rPr>
              <w:t>PCIe</w:t>
            </w:r>
            <w:proofErr w:type="spellEnd"/>
            <w:r w:rsidRPr="00DF2C41">
              <w:rPr>
                <w:rFonts w:ascii="Arial Narrow" w:hAnsi="Arial Narrow"/>
              </w:rPr>
              <w:t xml:space="preserve"> 3.0 x1, </w:t>
            </w:r>
            <w:proofErr w:type="spellStart"/>
            <w:r w:rsidRPr="00DF2C41">
              <w:rPr>
                <w:rFonts w:ascii="Arial Narrow" w:hAnsi="Arial Narrow"/>
              </w:rPr>
              <w:t>low-profie</w:t>
            </w:r>
            <w:proofErr w:type="spellEnd"/>
            <w:r w:rsidRPr="00DF2C41">
              <w:rPr>
                <w:rFonts w:ascii="Arial Narrow" w:hAnsi="Arial Narrow"/>
              </w:rPr>
              <w:t xml:space="preserve"> (comprimento &lt; 167,65 mm, altura &lt; 68,90 mm) </w:t>
            </w:r>
          </w:p>
          <w:p w14:paraId="57A3D23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01 </w:t>
            </w:r>
            <w:proofErr w:type="spellStart"/>
            <w:r w:rsidRPr="00DF2C41">
              <w:rPr>
                <w:rFonts w:ascii="Arial Narrow" w:hAnsi="Arial Narrow"/>
              </w:rPr>
              <w:t>PCIe</w:t>
            </w:r>
            <w:proofErr w:type="spellEnd"/>
            <w:r w:rsidRPr="00DF2C41">
              <w:rPr>
                <w:rFonts w:ascii="Arial Narrow" w:hAnsi="Arial Narrow"/>
              </w:rPr>
              <w:t xml:space="preserve"> 4.0 x16, </w:t>
            </w:r>
            <w:proofErr w:type="spellStart"/>
            <w:r w:rsidRPr="00DF2C41">
              <w:rPr>
                <w:rFonts w:ascii="Arial Narrow" w:hAnsi="Arial Narrow"/>
              </w:rPr>
              <w:t>low-profie</w:t>
            </w:r>
            <w:proofErr w:type="spellEnd"/>
            <w:r w:rsidRPr="00DF2C41">
              <w:rPr>
                <w:rFonts w:ascii="Arial Narrow" w:hAnsi="Arial Narrow"/>
              </w:rPr>
              <w:t xml:space="preserve"> (comprimento &lt; 167,65 mm, altura &lt; 68,90 mm)</w:t>
            </w:r>
          </w:p>
          <w:p w14:paraId="42C4696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02 slots M.2 (um para WLAN, um para SSD). </w:t>
            </w:r>
          </w:p>
          <w:p w14:paraId="040BD9E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Cor do Gabinete: </w:t>
            </w:r>
          </w:p>
          <w:p w14:paraId="55B32BB6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Preto. </w:t>
            </w:r>
          </w:p>
          <w:p w14:paraId="55A0D92E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Modelo do Gabinete: </w:t>
            </w:r>
          </w:p>
          <w:p w14:paraId="16B8A16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proofErr w:type="spellStart"/>
            <w:r w:rsidRPr="00DF2C41">
              <w:rPr>
                <w:rFonts w:ascii="Arial Narrow" w:hAnsi="Arial Narrow"/>
              </w:rPr>
              <w:t>Smal</w:t>
            </w:r>
            <w:proofErr w:type="spellEnd"/>
            <w:r w:rsidRPr="00DF2C41">
              <w:rPr>
                <w:rFonts w:ascii="Arial Narrow" w:hAnsi="Arial Narrow"/>
              </w:rPr>
              <w:t xml:space="preserve"> </w:t>
            </w:r>
            <w:proofErr w:type="spellStart"/>
            <w:r w:rsidRPr="00DF2C41">
              <w:rPr>
                <w:rFonts w:ascii="Arial Narrow" w:hAnsi="Arial Narrow"/>
              </w:rPr>
              <w:t>Form</w:t>
            </w:r>
            <w:proofErr w:type="spellEnd"/>
            <w:r w:rsidRPr="00DF2C41">
              <w:rPr>
                <w:rFonts w:ascii="Arial Narrow" w:hAnsi="Arial Narrow"/>
              </w:rPr>
              <w:t xml:space="preserve"> Factor SFF (7,4L). </w:t>
            </w:r>
          </w:p>
          <w:p w14:paraId="441521F8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Dimensões (</w:t>
            </w:r>
            <w:proofErr w:type="spellStart"/>
            <w:r w:rsidRPr="00DF2C41">
              <w:rPr>
                <w:rFonts w:ascii="Arial Narrow" w:hAnsi="Arial Narrow"/>
              </w:rPr>
              <w:t>LxPxA</w:t>
            </w:r>
            <w:proofErr w:type="spellEnd"/>
            <w:r w:rsidRPr="00DF2C41">
              <w:rPr>
                <w:rFonts w:ascii="Arial Narrow" w:hAnsi="Arial Narrow"/>
              </w:rPr>
              <w:t xml:space="preserve">).100 x 308 x 274,8 mm (3,9 x </w:t>
            </w:r>
            <w:r w:rsidRPr="00DF2C41">
              <w:rPr>
                <w:rFonts w:ascii="Arial Narrow" w:hAnsi="Arial Narrow"/>
              </w:rPr>
              <w:lastRenderedPageBreak/>
              <w:t xml:space="preserve">12,1 x 10,8 polegadas). </w:t>
            </w:r>
          </w:p>
          <w:p w14:paraId="79C5055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Peso Cerca de 4,5 kg (9,9 libras)</w:t>
            </w:r>
          </w:p>
          <w:p w14:paraId="166B3ADE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CONECTIVIDADE:  Ethernet RJ45 Integrado100/1000M</w:t>
            </w:r>
          </w:p>
          <w:p w14:paraId="2ABE232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WLAN + Bluetooth:</w:t>
            </w:r>
          </w:p>
          <w:p w14:paraId="5B57541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Intel AX201, 11ax 2x2 + BT5.1</w:t>
            </w:r>
          </w:p>
          <w:p w14:paraId="4042477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Portas frontais:</w:t>
            </w:r>
          </w:p>
          <w:p w14:paraId="49BD11F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2x USB 3.2 </w:t>
            </w:r>
            <w:proofErr w:type="spellStart"/>
            <w:r w:rsidRPr="00DF2C41">
              <w:rPr>
                <w:rFonts w:ascii="Arial Narrow" w:hAnsi="Arial Narrow"/>
              </w:rPr>
              <w:t>Gen</w:t>
            </w:r>
            <w:proofErr w:type="spellEnd"/>
            <w:r w:rsidRPr="00DF2C41">
              <w:rPr>
                <w:rFonts w:ascii="Arial Narrow" w:hAnsi="Arial Narrow"/>
              </w:rPr>
              <w:t xml:space="preserve"> 1</w:t>
            </w:r>
          </w:p>
          <w:p w14:paraId="7566701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1x USB-C® 3.2 </w:t>
            </w:r>
            <w:proofErr w:type="spellStart"/>
            <w:r w:rsidRPr="00DF2C41">
              <w:rPr>
                <w:rFonts w:ascii="Arial Narrow" w:hAnsi="Arial Narrow"/>
              </w:rPr>
              <w:t>Gen</w:t>
            </w:r>
            <w:proofErr w:type="spellEnd"/>
            <w:r w:rsidRPr="00DF2C41">
              <w:rPr>
                <w:rFonts w:ascii="Arial Narrow" w:hAnsi="Arial Narrow"/>
              </w:rPr>
              <w:t xml:space="preserve"> 1 (suporta transferência de dados e 5V@3A carregando)</w:t>
            </w:r>
          </w:p>
          <w:p w14:paraId="75E61F61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1 conector combinado de fone de ouvido/microfone (3,5 mm). </w:t>
            </w:r>
          </w:p>
          <w:p w14:paraId="184EB8F6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1 microfone (3,5 mm). </w:t>
            </w:r>
          </w:p>
          <w:p w14:paraId="1F1A7E6D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Portas Traseiras</w:t>
            </w:r>
          </w:p>
          <w:p w14:paraId="5670D2E5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2x USB 2.0</w:t>
            </w:r>
          </w:p>
          <w:p w14:paraId="415776F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2x USB 3.2 </w:t>
            </w:r>
            <w:proofErr w:type="spellStart"/>
            <w:r w:rsidRPr="00DF2C41">
              <w:rPr>
                <w:rFonts w:ascii="Arial Narrow" w:hAnsi="Arial Narrow"/>
              </w:rPr>
              <w:t>Gen</w:t>
            </w:r>
            <w:proofErr w:type="spellEnd"/>
            <w:r w:rsidRPr="00DF2C41">
              <w:rPr>
                <w:rFonts w:ascii="Arial Narrow" w:hAnsi="Arial Narrow"/>
              </w:rPr>
              <w:t xml:space="preserve"> 1 (um suporta </w:t>
            </w:r>
            <w:proofErr w:type="spellStart"/>
            <w:r w:rsidRPr="00DF2C41">
              <w:rPr>
                <w:rFonts w:ascii="Arial Narrow" w:hAnsi="Arial Narrow"/>
              </w:rPr>
              <w:t>Smart</w:t>
            </w:r>
            <w:proofErr w:type="spellEnd"/>
            <w:r w:rsidRPr="00DF2C41">
              <w:rPr>
                <w:rFonts w:ascii="Arial Narrow" w:hAnsi="Arial Narrow"/>
              </w:rPr>
              <w:t xml:space="preserve"> Power </w:t>
            </w:r>
            <w:proofErr w:type="spellStart"/>
            <w:r w:rsidRPr="00DF2C41">
              <w:rPr>
                <w:rFonts w:ascii="Arial Narrow" w:hAnsi="Arial Narrow"/>
              </w:rPr>
              <w:t>On</w:t>
            </w:r>
            <w:proofErr w:type="spellEnd"/>
            <w:r w:rsidRPr="00DF2C41">
              <w:rPr>
                <w:rFonts w:ascii="Arial Narrow" w:hAnsi="Arial Narrow"/>
              </w:rPr>
              <w:t>)</w:t>
            </w:r>
          </w:p>
          <w:p w14:paraId="537C4237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1 x VGA </w:t>
            </w:r>
          </w:p>
          <w:p w14:paraId="6105195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1x HDMI® 2.1 TMDS</w:t>
            </w:r>
          </w:p>
          <w:p w14:paraId="1BA8EA08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1x </w:t>
            </w:r>
            <w:proofErr w:type="spellStart"/>
            <w:r w:rsidRPr="00DF2C41">
              <w:rPr>
                <w:rFonts w:ascii="Arial Narrow" w:hAnsi="Arial Narrow"/>
              </w:rPr>
              <w:t>DisplayPort</w:t>
            </w:r>
            <w:proofErr w:type="spellEnd"/>
            <w:r w:rsidRPr="00DF2C41">
              <w:rPr>
                <w:rFonts w:ascii="Arial Narrow" w:hAnsi="Arial Narrow"/>
              </w:rPr>
              <w:t>™ 1.4</w:t>
            </w:r>
          </w:p>
          <w:p w14:paraId="3A26F1D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1x Ethernet (RJ-45)</w:t>
            </w:r>
          </w:p>
          <w:p w14:paraId="0317F8F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1 saída de </w:t>
            </w:r>
            <w:proofErr w:type="spellStart"/>
            <w:r w:rsidRPr="00DF2C41">
              <w:rPr>
                <w:rFonts w:ascii="Arial Narrow" w:hAnsi="Arial Narrow"/>
              </w:rPr>
              <w:t>audio</w:t>
            </w:r>
            <w:proofErr w:type="spellEnd"/>
            <w:r w:rsidRPr="00DF2C41">
              <w:rPr>
                <w:rFonts w:ascii="Arial Narrow" w:hAnsi="Arial Narrow"/>
              </w:rPr>
              <w:t xml:space="preserve"> (3,5 mm)</w:t>
            </w:r>
          </w:p>
          <w:p w14:paraId="49B77A0B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SEGURANÇA E PRIVACIDADE:</w:t>
            </w:r>
          </w:p>
          <w:p w14:paraId="1ED1CF11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chip de segurança. TPM 2.0 discreto, certificado TCG. </w:t>
            </w:r>
          </w:p>
          <w:p w14:paraId="72018C33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Leitor de impressão digital:</w:t>
            </w:r>
          </w:p>
          <w:p w14:paraId="406C763D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sem leitor de impressão digital. </w:t>
            </w:r>
          </w:p>
          <w:p w14:paraId="1C00E9C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físicos </w:t>
            </w:r>
          </w:p>
          <w:p w14:paraId="6A15A5E0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Kensington® Security Slot™, 3 x 7 mm </w:t>
            </w:r>
          </w:p>
          <w:p w14:paraId="5B8964C1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>Trava de cadeado: Trava de Cabo Kensington.</w:t>
            </w:r>
          </w:p>
          <w:p w14:paraId="40EB2CE9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Clipe de Cabo Inteligente Nenhum. Interruptor de Intrusão do Chassi Interruptor de Intrusão do Chassi. </w:t>
            </w:r>
          </w:p>
          <w:p w14:paraId="1926B699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CERTIFICAÇÕES Verdes </w:t>
            </w:r>
          </w:p>
          <w:p w14:paraId="7D37B7C9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 </w:t>
            </w:r>
            <w:proofErr w:type="spellStart"/>
            <w:r w:rsidRPr="00DF2C41">
              <w:rPr>
                <w:rFonts w:ascii="Arial Narrow" w:hAnsi="Arial Narrow"/>
              </w:rPr>
              <w:t>ErP</w:t>
            </w:r>
            <w:proofErr w:type="spellEnd"/>
            <w:r w:rsidRPr="00DF2C41">
              <w:rPr>
                <w:rFonts w:ascii="Arial Narrow" w:hAnsi="Arial Narrow"/>
              </w:rPr>
              <w:t xml:space="preserve"> Lote 3 • Certificado TCO 9.0 • Compatível com </w:t>
            </w:r>
            <w:proofErr w:type="spellStart"/>
            <w:r w:rsidRPr="00DF2C41">
              <w:rPr>
                <w:rFonts w:ascii="Arial Narrow" w:hAnsi="Arial Narrow"/>
              </w:rPr>
              <w:t>RoHS</w:t>
            </w:r>
            <w:proofErr w:type="spellEnd"/>
            <w:r w:rsidRPr="00DF2C41">
              <w:rPr>
                <w:rFonts w:ascii="Arial Narrow" w:hAnsi="Arial Narrow"/>
              </w:rPr>
              <w:t xml:space="preserve"> </w:t>
            </w:r>
          </w:p>
          <w:p w14:paraId="5D92A0AA" w14:textId="77777777" w:rsidR="00B3711D" w:rsidRPr="00DF2C41" w:rsidRDefault="00B3711D" w:rsidP="00B3711D">
            <w:pPr>
              <w:rPr>
                <w:rFonts w:ascii="Arial Narrow" w:hAnsi="Arial Narrow"/>
              </w:rPr>
            </w:pPr>
            <w:r w:rsidRPr="00DF2C41">
              <w:rPr>
                <w:rFonts w:ascii="Arial Narrow" w:hAnsi="Arial Narrow"/>
              </w:rPr>
              <w:t xml:space="preserve">Sistema operacional </w:t>
            </w:r>
          </w:p>
          <w:p w14:paraId="030A9E0C" w14:textId="5D2A8355" w:rsidR="00B3711D" w:rsidRPr="00F4632A" w:rsidRDefault="00B3711D" w:rsidP="00B3711D">
            <w:pPr>
              <w:rPr>
                <w:rFonts w:ascii="Arial Narrow" w:hAnsi="Arial Narrow"/>
                <w:sz w:val="24"/>
                <w:szCs w:val="24"/>
              </w:rPr>
            </w:pPr>
            <w:r w:rsidRPr="00DF2C41">
              <w:rPr>
                <w:rFonts w:ascii="Arial Narrow" w:hAnsi="Arial Narrow"/>
              </w:rPr>
              <w:t xml:space="preserve">Windows® 11 Pro, Português (Brasil) Software </w:t>
            </w:r>
            <w:proofErr w:type="spellStart"/>
            <w:r w:rsidRPr="00DF2C41">
              <w:rPr>
                <w:rFonts w:ascii="Arial Narrow" w:hAnsi="Arial Narrow"/>
              </w:rPr>
              <w:t>na</w:t>
            </w:r>
            <w:proofErr w:type="spellEnd"/>
            <w:r w:rsidRPr="00DF2C41">
              <w:rPr>
                <w:rFonts w:ascii="Arial Narrow" w:hAnsi="Arial Narrow"/>
              </w:rPr>
              <w:t xml:space="preserve"> </w:t>
            </w:r>
            <w:proofErr w:type="spellStart"/>
            <w:r w:rsidRPr="00DF2C41">
              <w:rPr>
                <w:rFonts w:ascii="Arial Narrow" w:hAnsi="Arial Narrow"/>
              </w:rPr>
              <w:t>Bios</w:t>
            </w:r>
            <w:proofErr w:type="spellEnd"/>
            <w:r w:rsidRPr="00DF2C41">
              <w:rPr>
                <w:rFonts w:ascii="Arial Narrow" w:hAnsi="Arial Narrow"/>
              </w:rPr>
              <w:t xml:space="preserve"> do Equipamento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F352" w14:textId="03556D98" w:rsidR="00B3711D" w:rsidRPr="00F4632A" w:rsidRDefault="00B3711D" w:rsidP="00B371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E46A" w14:textId="77777777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D24" w14:textId="13D4B414" w:rsidR="00B3711D" w:rsidRPr="00F4632A" w:rsidRDefault="00B3711D" w:rsidP="00B3711D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8B37" w14:textId="69BEFBC4" w:rsidR="00B3711D" w:rsidRPr="00F4632A" w:rsidRDefault="00B3711D" w:rsidP="00B3711D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1D" w:rsidRPr="00F4632A" w14:paraId="3182BD48" w14:textId="77777777" w:rsidTr="00FE1240">
        <w:trPr>
          <w:trHeight w:val="14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7756" w14:textId="48ADBB2A" w:rsidR="00B3711D" w:rsidRPr="00024369" w:rsidRDefault="00024369" w:rsidP="00B3711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Lote 01 / Item 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69EF" w14:textId="77777777" w:rsidR="00B3711D" w:rsidRDefault="00B3711D" w:rsidP="00B3711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MONITOR</w:t>
            </w:r>
          </w:p>
          <w:p w14:paraId="27F4FD7A" w14:textId="4851E41E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9721E">
              <w:rPr>
                <w:rFonts w:ascii="Arial Narrow" w:hAnsi="Arial Narrow"/>
                <w:color w:val="000000"/>
              </w:rPr>
              <w:t xml:space="preserve">2 - Monitor –Tamanho de exibição 23.8. Área de visualização 527,04x296,46 mm. Painel VA. Proporção da tela 16:9. Resolução 1920x1080. Passo do pixel0,2745x0,2745 mm. Ponto / Pixel por polegada 92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dpi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. Ângulo de Visão (H/V) 178/178.Tempo de resposta do pixel4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ms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(modo extremo) / 6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ms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(modo típico). Taxa de atualização 60 Hz. Brilho 250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nits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. Taxa de contraste 3000:1. Gama de cores 72% NTSC.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Anti-reflexo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Sim. Entrada múltipla HDMI, VGA. Porta USB Nenhum. Câmera Nenhum. Microfone Nenhum. Palestrante Nenhum. Consumo de energia (Típico / Máximo) 24 W / 31 W. Adaptador de energia Integrado. Ficar Inclinação, rotação, pivô, suporte de ajuste de altura. Cor Preto. Largura do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Bezel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Lateral 2mm. Dimensões com suporte (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AxLxP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) 410,8x539,5x244,6 mm. Peso (incluindo suporte) 6,77 libras / 3,07 kg. Cabo do monitor HDMI. ESTRELA DE ENERGIA Sim. MOSTRAR Tamanho do painel 23,8 polegadas. Dimensões da tela 531,73 mm x 340,80 mm. Tipo de painel 3 lados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NearEdgeless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, VA. Área ativa 527,04 mm x 296,46 mm. Luz de fundo WLED. Proporção </w:t>
            </w:r>
            <w:r w:rsidRPr="00A9721E">
              <w:rPr>
                <w:rFonts w:ascii="Arial Narrow" w:hAnsi="Arial Narrow"/>
                <w:color w:val="000000"/>
              </w:rPr>
              <w:lastRenderedPageBreak/>
              <w:t xml:space="preserve">da tela 16:9. Resolução 1920 x 1080. Passo do pixel 0,2745 x 0,2745 mm. Ponto/Pixel por polegada (DPI/PPI) 93. Ângulo de visão (A x V @ CR 10:1) 178° / 178°. Tempo de resposta 4ms (modo extremo), 6ms (modo normal). Taxa de atualização 60 Hz. Brilho (típico) 250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cd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/m². Taxa de contraste (típica) 3000:1. Taxa de contraste dinâmico (típica) 3M:1. Gama de cores 72% NTSC (CIE 1931). Suporte de cores (típico) 16,7 milhões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Anti-reflexo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Sim CONECTIVIDADE Sinal de vídeo 1 x HDMI 1.4 1 x VGA. Sinal de áudio 1 x Saída de áudio (3,5 mm). MULTIMÍDIA Suporte opcional para barra de som Sim (número PN: 0A36190). CARACTERÍSTICAS ESPECIAIS tecnologia de sincronização AMD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FreeSync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™*. PODER Consumo de energia (típico/máximo) 17,5 W / 23,5 W. Consumo de energia Modo inativo/desligado &lt; 0,5 W. Modo de desligamento do consumo de energia &lt; 0,5 W. Consumo de Energia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Energystar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(Pon/ETEC) 12 W / 36 kWh. Fonte de energia Interno. Tensão Necessária CA 100 a 240 V (50 a 60 Hz). MECÂNICO Ângulo de inclinação (frente/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trás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) -5° / 22°. Capacidade de montagem VESA Sim (100 x 100 mm). Suporte para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ThinkCentre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M Series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Tiny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Sim, por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Tiny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VESA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mount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II (PN: 4XF0N03161). Slot de trava Kensington Sim. Gerenciamento de cabos Sim. Cor da Moldura Corvo Negro. Largura da moldura (lado) 2,5 mm. Largura da moldura (superior/inferior) 2,5 / 22,4 mm. DIMENSÕES Tamanho embalado (P x A x L, mm/polegada) 624,0 x 124,0 x 415,0 mm 24,57 x 4,88 x 16,34 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polegadas.Tamanho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 xml:space="preserve"> desembalado com suporte (P x A x L, mm/polegada) (posição mais baixa) 173,1 x 434,5 x 540,4 mm 6,81 x 17,10 x 21,28 polegadas. Tamanho desembalado com suporte (P x A x L, mm/polegada) (posição mais alta) 173,1 x 434,5 x 540,4 mm 6,81 x 17,10 x 21,28 polegadas. Tamanho Desembalado sem suporte (somente cabeça) (P x A x L) (mm/polegada) 45,5 x 327,2 x 540,4 mm 1,79 x 12,88 x 21,28 polegadas. Peso Embalado (kg/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lbs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>.) 5,42 kg / 11,95 libras. Peso sem embalagem (kg/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lbs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>.) 3,82 kg / 8,42 libras. Peso (somente cabeçote do monitor) (kg/</w:t>
            </w:r>
            <w:proofErr w:type="spellStart"/>
            <w:r w:rsidRPr="00A9721E">
              <w:rPr>
                <w:rFonts w:ascii="Arial Narrow" w:hAnsi="Arial Narrow"/>
                <w:color w:val="000000"/>
              </w:rPr>
              <w:t>lbs</w:t>
            </w:r>
            <w:proofErr w:type="spellEnd"/>
            <w:r w:rsidRPr="00A9721E">
              <w:rPr>
                <w:rFonts w:ascii="Arial Narrow" w:hAnsi="Arial Narrow"/>
                <w:color w:val="000000"/>
              </w:rPr>
              <w:t>.) 3,02 kg / 6,66 libras. O QUE ESTÁ NA CAIXA Monitor com suporte 1 x cabo de alimentação (1,8 m) 1 x cabo HDMI (1,8 m) Guia de configuração rápida.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05FC" w14:textId="3F561275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E197" w14:textId="77777777" w:rsidR="00B3711D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9E7E" w14:textId="69C03B44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0AAF" w14:textId="1BE4C721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</w:tr>
      <w:tr w:rsidR="00B3711D" w:rsidRPr="00F4632A" w14:paraId="6F2A5038" w14:textId="77777777" w:rsidTr="00FE1240">
        <w:trPr>
          <w:trHeight w:val="14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44799" w14:textId="51B6B5CB" w:rsidR="00B3711D" w:rsidRPr="00EE7CCB" w:rsidRDefault="00EE7CCB" w:rsidP="00B3711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Lote 02 / Item 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EA39" w14:textId="77777777" w:rsidR="00B3711D" w:rsidRDefault="00B3711D" w:rsidP="00B3711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IMPRESSORA</w:t>
            </w:r>
          </w:p>
          <w:p w14:paraId="5C5BAD9E" w14:textId="6A3366D8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447D9">
              <w:rPr>
                <w:rFonts w:ascii="Arial Narrow" w:hAnsi="Arial Narrow"/>
                <w:color w:val="000000"/>
              </w:rPr>
              <w:t xml:space="preserve">2 - IMPRESSORA MULTIFUNCIONAL - LaserJet Pro M428DW WIFI   • Memória interna: 512 MB; Velocidade do processador: 1200 MHz • Conectividade: Wi-Fi, Rede Ethernet Gigabit, USB 2.0; • Resolução de Impressão máxima: 3600 x 600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t>dpi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 xml:space="preserve">; • Resolução de Impressão mínima: 600 x 600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t>dpi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 xml:space="preserve">; • Resolução da digitalização:  1200 x 1200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t>dpi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 xml:space="preserve"> • Resolução de cópia: 600 x 600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t>dpi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 xml:space="preserve"> • Impressão Direta via USB: Sim; • Velocidade de Impressão: 38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t>ppm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 xml:space="preserve">; • Ciclo de trabalho: 80.000 páginas • Capacidade da Bandeja 1: 150 folhas • Capacidade da Bandeja 2: 250 folhas • Rendimento do Cartucho Inicial (em páginas): 8000; • Cópia Frente e Verso </w:t>
            </w:r>
            <w:proofErr w:type="spellStart"/>
            <w:r w:rsidRPr="00C447D9">
              <w:rPr>
                <w:rFonts w:ascii="Arial Narrow" w:hAnsi="Arial Narrow"/>
                <w:color w:val="000000"/>
              </w:rPr>
              <w:lastRenderedPageBreak/>
              <w:t>automatico</w:t>
            </w:r>
            <w:proofErr w:type="spellEnd"/>
            <w:r w:rsidRPr="00C447D9">
              <w:rPr>
                <w:rFonts w:ascii="Arial Narrow" w:hAnsi="Arial Narrow"/>
                <w:color w:val="000000"/>
              </w:rPr>
              <w:t>: Sim; • Ampliação e Redução: 400% - 25%; • TONER COMPATÍVEL: Cartucho de toner preto 58A (~3000 páginas); Cartucho de toner preto 58X (~10000 páginas);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7C1C" w14:textId="2B03C3DA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51F7" w14:textId="77777777" w:rsidR="00B3711D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25B9" w14:textId="2E2CC92F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20518" w14:textId="14C05290" w:rsidR="00B3711D" w:rsidRPr="00F4632A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</w:tr>
      <w:tr w:rsidR="00B3711D" w:rsidRPr="00F4632A" w14:paraId="56C24B0E" w14:textId="77777777" w:rsidTr="00B3711D">
        <w:trPr>
          <w:trHeight w:val="473"/>
        </w:trPr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0B02" w14:textId="771CF52D" w:rsidR="00B3711D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Valor Global: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91D9F" w14:textId="0D6500E9" w:rsidR="00B3711D" w:rsidRDefault="00B3711D" w:rsidP="00B3711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</w:tr>
    </w:tbl>
    <w:p w14:paraId="15C92ED7" w14:textId="0CDCFCDB" w:rsidR="00CD1ED2" w:rsidRDefault="00CD1ED2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66467E33" w14:textId="77777777" w:rsidR="00DC0285" w:rsidRPr="00627BB6" w:rsidRDefault="00DC0285" w:rsidP="00DC0285">
      <w:pPr>
        <w:ind w:left="-709"/>
        <w:rPr>
          <w:rFonts w:ascii="Arial Narrow" w:hAnsi="Arial Narrow"/>
          <w:b/>
          <w:bCs/>
          <w:sz w:val="24"/>
          <w:szCs w:val="24"/>
        </w:rPr>
      </w:pPr>
    </w:p>
    <w:p w14:paraId="13941041" w14:textId="324057CB" w:rsidR="0010207F" w:rsidRPr="00627BB6" w:rsidRDefault="00E53389" w:rsidP="0010207F">
      <w:pPr>
        <w:ind w:left="-709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LOTE 01: COMPUTADOR</w:t>
      </w:r>
      <w:r w:rsidR="002035AD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>TECLADO</w:t>
      </w:r>
      <w:r w:rsidR="002035AD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 xml:space="preserve">MOUSE </w:t>
      </w:r>
      <w:r w:rsidR="002035AD">
        <w:rPr>
          <w:rFonts w:ascii="Arial Narrow" w:hAnsi="Arial Narrow"/>
          <w:b/>
          <w:bCs/>
          <w:sz w:val="24"/>
          <w:szCs w:val="24"/>
        </w:rPr>
        <w:t xml:space="preserve">E MONITOR </w:t>
      </w:r>
      <w:r>
        <w:rPr>
          <w:rFonts w:ascii="Arial Narrow" w:hAnsi="Arial Narrow"/>
          <w:b/>
          <w:bCs/>
          <w:sz w:val="24"/>
          <w:szCs w:val="24"/>
        </w:rPr>
        <w:t>OBRIGATÓRIO SER DO MESMO FABRICANTE</w:t>
      </w:r>
      <w:r w:rsidR="00DC0285" w:rsidRPr="00627BB6">
        <w:rPr>
          <w:rFonts w:ascii="Arial Narrow" w:hAnsi="Arial Narrow"/>
          <w:b/>
          <w:bCs/>
          <w:sz w:val="24"/>
          <w:szCs w:val="24"/>
        </w:rPr>
        <w:t>, SOB PENA DE DESCLASSIFICAÇÃO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560847DC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b/>
          <w:bCs/>
          <w:color w:val="FF0000"/>
          <w:sz w:val="24"/>
          <w:szCs w:val="24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Declaro que os materiais referidos na proposta atendem as especificações do Edital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e Anexos, sendo a licitante abaixo qualificada corresponsável pela garantia dos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mesmos.</w:t>
      </w:r>
    </w:p>
    <w:p w14:paraId="6B5DA3E3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 (Não inferior a 60 dias).</w:t>
      </w:r>
    </w:p>
    <w:p w14:paraId="7DEBC0AE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14:paraId="0733B92D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14:paraId="6DA76D07" w14:textId="4B0E85E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14:paraId="323C5DF0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14:paraId="1DF24655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14:paraId="56ED2310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14:paraId="24F9E05B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14:paraId="0334C756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14:paraId="343B5FB5" w14:textId="77777777" w:rsidR="00DC0285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14:paraId="7E39EB14" w14:textId="64D37FD0" w:rsidR="00DC0285" w:rsidRPr="00FE1240" w:rsidRDefault="00DC0285" w:rsidP="00DC0285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</w:r>
      <w:r w:rsidRPr="00FE1240">
        <w:rPr>
          <w:rFonts w:ascii="Arial Narrow" w:hAnsi="Arial Narrow"/>
          <w:color w:val="000000"/>
          <w:sz w:val="24"/>
          <w:szCs w:val="24"/>
        </w:rPr>
        <w:t>(NOME E ASSINATURA DO REPRESENTANTE LEGAL DA EMPRESA)</w:t>
      </w:r>
      <w:r w:rsidRPr="00FE1240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20DB3F55" w14:textId="5AF8A5B8" w:rsidR="00DC0285" w:rsidRPr="00FE1240" w:rsidRDefault="00DC0285" w:rsidP="00DC0285">
      <w:pPr>
        <w:ind w:left="-709"/>
        <w:rPr>
          <w:rFonts w:ascii="Arial Narrow" w:hAnsi="Arial Narrow"/>
          <w:sz w:val="24"/>
          <w:szCs w:val="24"/>
        </w:rPr>
      </w:pPr>
      <w:r w:rsidRPr="00FE1240">
        <w:rPr>
          <w:rFonts w:ascii="Arial Narrow" w:hAnsi="Arial Narrow"/>
          <w:color w:val="000000"/>
          <w:sz w:val="24"/>
          <w:szCs w:val="24"/>
        </w:rPr>
        <w:t>(OBS: UTILIZAR PAPEL TIMBRADO DA EMPRESA)</w:t>
      </w:r>
    </w:p>
    <w:p w14:paraId="14DD05F3" w14:textId="77777777" w:rsidR="00DC0285" w:rsidRPr="00405860" w:rsidRDefault="00DC0285" w:rsidP="00CD1ED2">
      <w:pPr>
        <w:tabs>
          <w:tab w:val="left" w:pos="10206"/>
        </w:tabs>
        <w:spacing w:line="276" w:lineRule="auto"/>
        <w:rPr>
          <w:rFonts w:ascii="Arial Narrow" w:hAnsi="Arial Narrow"/>
          <w:b/>
          <w:bCs/>
          <w:w w:val="99"/>
          <w:sz w:val="24"/>
          <w:szCs w:val="24"/>
        </w:rPr>
      </w:pPr>
    </w:p>
    <w:sectPr w:rsidR="00DC0285" w:rsidRPr="00405860" w:rsidSect="00FE1240">
      <w:headerReference w:type="default" r:id="rId8"/>
      <w:footerReference w:type="default" r:id="rId9"/>
      <w:pgSz w:w="11907" w:h="16840"/>
      <w:pgMar w:top="1440" w:right="1080" w:bottom="1440" w:left="108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7F6A" w14:textId="77777777" w:rsidR="00B54CE3" w:rsidRDefault="00B54CE3" w:rsidP="00CD1EF5">
      <w:r>
        <w:separator/>
      </w:r>
    </w:p>
  </w:endnote>
  <w:endnote w:type="continuationSeparator" w:id="0">
    <w:p w14:paraId="1ABA8639" w14:textId="77777777" w:rsidR="00B54CE3" w:rsidRDefault="00B54CE3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CB96" w14:textId="418A8244" w:rsidR="006B0A6B" w:rsidRPr="00BC4296" w:rsidRDefault="006B0A6B" w:rsidP="00405860">
    <w:pPr>
      <w:autoSpaceDE w:val="0"/>
      <w:autoSpaceDN w:val="0"/>
      <w:adjustRightInd w:val="0"/>
      <w:rPr>
        <w:rFonts w:asciiTheme="majorHAnsi" w:hAnsiTheme="majorHAnsi"/>
        <w:b/>
        <w:sz w:val="18"/>
        <w:szCs w:val="24"/>
      </w:rPr>
    </w:pPr>
  </w:p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AA3A" w14:textId="77777777" w:rsidR="00B54CE3" w:rsidRDefault="00B54CE3" w:rsidP="00CD1EF5">
      <w:r>
        <w:separator/>
      </w:r>
    </w:p>
  </w:footnote>
  <w:footnote w:type="continuationSeparator" w:id="0">
    <w:p w14:paraId="5111F3E7" w14:textId="77777777" w:rsidR="00B54CE3" w:rsidRDefault="00B54CE3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369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6220"/>
    <w:rsid w:val="000F73A7"/>
    <w:rsid w:val="000F74F4"/>
    <w:rsid w:val="000F785C"/>
    <w:rsid w:val="000F79D4"/>
    <w:rsid w:val="001004E0"/>
    <w:rsid w:val="001006BB"/>
    <w:rsid w:val="0010207F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5AD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1B66"/>
    <w:rsid w:val="005C1BAF"/>
    <w:rsid w:val="005C1D8E"/>
    <w:rsid w:val="005C2299"/>
    <w:rsid w:val="005C30A5"/>
    <w:rsid w:val="005C4685"/>
    <w:rsid w:val="005C631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939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53DC"/>
    <w:rsid w:val="00955B4B"/>
    <w:rsid w:val="00956333"/>
    <w:rsid w:val="009567C5"/>
    <w:rsid w:val="00956A98"/>
    <w:rsid w:val="009607E4"/>
    <w:rsid w:val="00960E6B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11D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CE3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13C4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419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389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0E5E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E7CCB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108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1240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39</cp:revision>
  <cp:lastPrinted>2023-08-09T17:44:00Z</cp:lastPrinted>
  <dcterms:created xsi:type="dcterms:W3CDTF">2018-04-19T19:23:00Z</dcterms:created>
  <dcterms:modified xsi:type="dcterms:W3CDTF">2023-08-16T17:05:00Z</dcterms:modified>
</cp:coreProperties>
</file>