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4F7" w14:textId="68A8C470" w:rsidR="00565229" w:rsidRPr="00565229" w:rsidRDefault="00FA2F41" w:rsidP="00565229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SANTANA DO PARAÍSO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>
        <w:rPr>
          <w:rFonts w:ascii="Arial Narrow" w:hAnsi="Arial Narrow"/>
          <w:b/>
          <w:bCs/>
          <w:color w:val="000000"/>
          <w:sz w:val="24"/>
          <w:szCs w:val="24"/>
        </w:rPr>
        <w:t>4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t>/2023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05</w:t>
      </w:r>
      <w:r>
        <w:rPr>
          <w:rFonts w:ascii="Arial Narrow" w:hAnsi="Arial Narrow"/>
          <w:b/>
          <w:bCs/>
          <w:color w:val="000000"/>
          <w:sz w:val="24"/>
          <w:szCs w:val="24"/>
        </w:rPr>
        <w:t>2</w:t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627078F2" w:rsidR="006D1B92" w:rsidRPr="00565229" w:rsidRDefault="00C54B3F" w:rsidP="00565229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65229">
        <w:rPr>
          <w:rFonts w:ascii="Arial Narrow" w:hAnsi="Arial Narrow"/>
          <w:b/>
          <w:bCs/>
          <w:sz w:val="24"/>
          <w:szCs w:val="24"/>
        </w:rPr>
        <w:t>PROPOSTA</w:t>
      </w:r>
      <w:r w:rsidR="00F107C7" w:rsidRPr="00565229">
        <w:rPr>
          <w:rFonts w:ascii="Arial Narrow" w:hAnsi="Arial Narrow"/>
          <w:b/>
          <w:bCs/>
          <w:sz w:val="24"/>
          <w:szCs w:val="24"/>
        </w:rPr>
        <w:t xml:space="preserve"> </w:t>
      </w:r>
      <w:r w:rsidR="00680ED9" w:rsidRPr="00565229">
        <w:rPr>
          <w:rFonts w:ascii="Arial Narrow" w:hAnsi="Arial Narrow"/>
          <w:b/>
          <w:bCs/>
          <w:sz w:val="24"/>
          <w:szCs w:val="24"/>
        </w:rPr>
        <w:t>DE PREÇOS</w:t>
      </w:r>
    </w:p>
    <w:p w14:paraId="12A1DBF7" w14:textId="77777777" w:rsidR="00C54B3F" w:rsidRPr="00405860" w:rsidRDefault="00C54B3F" w:rsidP="00CD1ED2">
      <w:pPr>
        <w:pStyle w:val="Corpodetexto3"/>
        <w:spacing w:after="0" w:line="276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35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9"/>
        <w:gridCol w:w="992"/>
        <w:gridCol w:w="1560"/>
        <w:gridCol w:w="1559"/>
      </w:tblGrid>
      <w:tr w:rsidR="00145C23" w:rsidRPr="00F4632A" w14:paraId="6D4E6FB7" w14:textId="77777777" w:rsidTr="00145C23">
        <w:trPr>
          <w:trHeight w:val="2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6097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511A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4F46" w14:textId="6A565E10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F125" w14:textId="1C7BEF93" w:rsidR="00FB36EB" w:rsidRPr="00F4632A" w:rsidRDefault="00FB36EB" w:rsidP="00684B7B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Marca/Modelo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21CC" w14:textId="1C59D31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Unit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6221" w14:textId="77777777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Global</w:t>
            </w:r>
          </w:p>
        </w:tc>
      </w:tr>
      <w:tr w:rsidR="00145C23" w:rsidRPr="00F4632A" w14:paraId="6D0EC593" w14:textId="77777777" w:rsidTr="00145C23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B69D" w14:textId="77777777" w:rsidR="00FB36EB" w:rsidRPr="00FB5334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B5334">
              <w:rPr>
                <w:rFonts w:ascii="Arial Narrow" w:hAnsi="Arial Narro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0D5E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Modelo: - Veículo automotor Sedan - 0 Km - tipo passageiro ano/modelo 2023/2023 ou 2023/2024 - capacidade para 05 pessoas - 04 portas - bicombustível (</w:t>
            </w:r>
            <w:proofErr w:type="spellStart"/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flex</w:t>
            </w:r>
            <w:proofErr w:type="spellEnd"/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 xml:space="preserve"> – gasolina/álcool) – cor preta;</w:t>
            </w:r>
          </w:p>
          <w:p w14:paraId="29539A27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Direção elétrica;</w:t>
            </w:r>
          </w:p>
          <w:p w14:paraId="074D9D31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Motorização 2.0, 16 v, potência mínima 177 cv;</w:t>
            </w:r>
          </w:p>
          <w:p w14:paraId="47941E2B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Câmbio Automático CVT;</w:t>
            </w:r>
          </w:p>
          <w:p w14:paraId="18562866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Capacidade do tanque combustível igual ou superior a 50 litros original de fábrica;</w:t>
            </w:r>
          </w:p>
          <w:p w14:paraId="3C587D30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 xml:space="preserve">- Sistema de Som (rádio, conexão USB, conexão </w:t>
            </w:r>
            <w:proofErr w:type="spellStart"/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bluetooth</w:t>
            </w:r>
            <w:proofErr w:type="spellEnd"/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);</w:t>
            </w:r>
          </w:p>
          <w:p w14:paraId="29C773C1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Airbags frontais, laterais e de cortina mínimo sete original de fábrica;</w:t>
            </w:r>
          </w:p>
          <w:p w14:paraId="63B07A5E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Alarme antifurto perimétrico;</w:t>
            </w:r>
          </w:p>
          <w:p w14:paraId="04535E64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Sistemas de Freios ABS;</w:t>
            </w:r>
          </w:p>
          <w:p w14:paraId="0D58C792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Controle de Estabilidade;</w:t>
            </w:r>
          </w:p>
          <w:p w14:paraId="21ECEA15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Controle de Tração;</w:t>
            </w:r>
          </w:p>
          <w:p w14:paraId="18DCEA65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Travamento central das portas;</w:t>
            </w:r>
          </w:p>
          <w:p w14:paraId="6E18D218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Para-choques na cor do veículo;</w:t>
            </w:r>
          </w:p>
          <w:p w14:paraId="4940E5C5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Rodas de liga leve 17”;</w:t>
            </w:r>
          </w:p>
          <w:p w14:paraId="59BB8491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Ajuste do volante em altura e profundidade;</w:t>
            </w:r>
          </w:p>
          <w:p w14:paraId="09D98BE4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Volante com comandas multifuncional;</w:t>
            </w:r>
          </w:p>
          <w:p w14:paraId="79D85BCD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Computador de bordo;</w:t>
            </w:r>
          </w:p>
          <w:p w14:paraId="7C46CD97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Manopla para troca de marchas localizada no volante;</w:t>
            </w:r>
          </w:p>
          <w:p w14:paraId="434A1F74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Painel de instrumentos com dois indicadores analógicos com a tela 4,2 polegadas digital e colorido original de fábrica;</w:t>
            </w:r>
          </w:p>
          <w:p w14:paraId="0DA579E3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Farol de neblina;</w:t>
            </w:r>
          </w:p>
          <w:p w14:paraId="2041BDA7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Ar condicionado (ar frio e ar quente digital);</w:t>
            </w:r>
          </w:p>
          <w:p w14:paraId="15156E63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Vidros dianteiros traseiros elétricos com sensor ante esmagamento;</w:t>
            </w:r>
          </w:p>
          <w:p w14:paraId="723880B6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Luz no porta malas e porta luvas;</w:t>
            </w:r>
          </w:p>
          <w:p w14:paraId="7CAEC185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Porta mala mínimo 470 litros;</w:t>
            </w:r>
          </w:p>
          <w:p w14:paraId="574311D0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Ajuste elétrico dos retrovisores;</w:t>
            </w:r>
          </w:p>
          <w:p w14:paraId="430F3433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Banco do motorista com ajuste de altura;</w:t>
            </w:r>
          </w:p>
          <w:p w14:paraId="395267FD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Todos os bancos revestidos em material sintético e acabamento de acordo com fabricação na cor preta;</w:t>
            </w:r>
          </w:p>
          <w:p w14:paraId="296C181F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lastRenderedPageBreak/>
              <w:t>- Trava elétrica nas 04 portas;</w:t>
            </w:r>
          </w:p>
          <w:p w14:paraId="32E6347B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Sensores de estacionamento dianteiro e traseiro original de fábrica;</w:t>
            </w:r>
          </w:p>
          <w:p w14:paraId="447816A5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Película de controle solar/protetora de vidro (insulfilm) de acordo com a legislação de trânsito vigente;</w:t>
            </w:r>
          </w:p>
          <w:p w14:paraId="4E09881D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Jogo completo de tapetes originais para a parte do motorista e passageiros;</w:t>
            </w:r>
          </w:p>
          <w:p w14:paraId="5EB7A802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Chave de roda;</w:t>
            </w:r>
          </w:p>
          <w:p w14:paraId="46B54F02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Triangulo (sinalização);</w:t>
            </w:r>
          </w:p>
          <w:p w14:paraId="34A4EA5A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Pneu reserva (</w:t>
            </w:r>
            <w:proofErr w:type="spellStart"/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step</w:t>
            </w:r>
            <w:proofErr w:type="spellEnd"/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);</w:t>
            </w:r>
          </w:p>
          <w:p w14:paraId="35BF4461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Peito de aço instalado;</w:t>
            </w:r>
          </w:p>
          <w:p w14:paraId="05AF143C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Frisos de portas laterais instalado;</w:t>
            </w:r>
          </w:p>
          <w:p w14:paraId="28A7F0DB" w14:textId="77777777" w:rsidR="00E16082" w:rsidRPr="00BC7FAF" w:rsidRDefault="00E16082" w:rsidP="00E16082">
            <w:pPr>
              <w:pStyle w:val="Default"/>
              <w:spacing w:after="80"/>
              <w:rPr>
                <w:rStyle w:val="fontstyle21"/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Chave de ignição reserva;</w:t>
            </w:r>
          </w:p>
          <w:p w14:paraId="39D92BBC" w14:textId="4DCFB7BB" w:rsidR="00FB36EB" w:rsidRPr="00BC7FAF" w:rsidRDefault="00E16082" w:rsidP="00E16082">
            <w:pPr>
              <w:pStyle w:val="Default"/>
              <w:spacing w:after="80"/>
              <w:rPr>
                <w:rFonts w:ascii="Arial Narrow" w:hAnsi="Arial Narrow"/>
                <w:sz w:val="20"/>
                <w:szCs w:val="20"/>
              </w:rPr>
            </w:pP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Garantia mínima de 01 (ano) ano sem limite de quilometragem ou de acordo com o fabricante;</w:t>
            </w:r>
            <w:r w:rsidRPr="00BC7FAF">
              <w:rPr>
                <w:rFonts w:ascii="Arial Narrow" w:hAnsi="Arial Narrow"/>
                <w:sz w:val="20"/>
                <w:szCs w:val="20"/>
              </w:rPr>
              <w:br/>
            </w:r>
            <w:r w:rsidRPr="00BC7FAF">
              <w:rPr>
                <w:rStyle w:val="fontstyle21"/>
                <w:rFonts w:ascii="Arial Narrow" w:hAnsi="Arial Narrow"/>
                <w:sz w:val="20"/>
                <w:szCs w:val="20"/>
              </w:rPr>
              <w:t>- Frete incluso.</w:t>
            </w:r>
          </w:p>
          <w:p w14:paraId="030A9E0C" w14:textId="01CD3E3C" w:rsidR="009545D2" w:rsidRPr="00BC7FAF" w:rsidRDefault="009545D2" w:rsidP="00684B7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F352" w14:textId="60C23454" w:rsidR="00FB36EB" w:rsidRPr="00F4632A" w:rsidRDefault="00FA2F41" w:rsidP="00684B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E46A" w14:textId="77777777" w:rsidR="00FB36EB" w:rsidRPr="00F4632A" w:rsidRDefault="00FB36EB" w:rsidP="00684B7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7D24" w14:textId="13D4B414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8B37" w14:textId="69BEFBC4" w:rsidR="00FB36EB" w:rsidRPr="00F4632A" w:rsidRDefault="00FB36EB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772208" w:rsidRPr="00F4632A" w14:paraId="56C24B0E" w14:textId="77777777" w:rsidTr="001A6EA0">
        <w:trPr>
          <w:trHeight w:val="473"/>
        </w:trPr>
        <w:tc>
          <w:tcPr>
            <w:tcW w:w="77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0B02" w14:textId="771CF52D" w:rsidR="00772208" w:rsidRDefault="00772208" w:rsidP="00684B7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Valor Global: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91D9F" w14:textId="0D6500E9" w:rsidR="00772208" w:rsidRDefault="00772208" w:rsidP="00684B7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</w:tr>
    </w:tbl>
    <w:p w14:paraId="14DD05F3" w14:textId="5637493F" w:rsidR="00DC0285" w:rsidRDefault="00DC0285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2201CBC2" w14:textId="77777777" w:rsidR="001819BA" w:rsidRDefault="001819BA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316554B8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Declaro que os materiais referidos na proposta atendem as especificações do Edital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e Anexos, sendo a licitante abaixo qualificada corresponsável pela garantia dos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mesmos.</w:t>
      </w:r>
    </w:p>
    <w:p w14:paraId="176FD569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Proposta válida até: ........../........./.......... (Não inferior a 60 dias).</w:t>
      </w:r>
    </w:p>
    <w:p w14:paraId="385AEA5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Empresa: .......................................................................</w:t>
      </w:r>
    </w:p>
    <w:p w14:paraId="12DC2914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Endereço: ......................................................................</w:t>
      </w:r>
    </w:p>
    <w:p w14:paraId="23209D37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CNPJ: .......................................................................</w:t>
      </w:r>
    </w:p>
    <w:p w14:paraId="353BFC41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Conta corrente: n.º................................................. Agência: n.º...............</w:t>
      </w:r>
    </w:p>
    <w:p w14:paraId="594929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Banco..............</w:t>
      </w:r>
    </w:p>
    <w:p w14:paraId="66B9811C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Nome do responsável pela assinatura do contrato: ...................................</w:t>
      </w:r>
    </w:p>
    <w:p w14:paraId="759B0CC0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CPF do responsável pela assinatura do contrato:.......................</w:t>
      </w:r>
    </w:p>
    <w:p w14:paraId="58450C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</w:p>
    <w:p w14:paraId="6BED0526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Atenciosamente,</w:t>
      </w:r>
    </w:p>
    <w:p w14:paraId="7EEB713F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30BBD84A" w14:textId="583A1BC6" w:rsidR="001819BA" w:rsidRPr="001819BA" w:rsidRDefault="001819BA" w:rsidP="001819BA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</w:t>
      </w:r>
      <w:r w:rsidR="005C00AA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UTILIZAR PAPEL TIMBRADO DA EMPRESA)</w:t>
      </w:r>
    </w:p>
    <w:sectPr w:rsidR="001819BA" w:rsidRPr="001819BA" w:rsidSect="00B3011B">
      <w:headerReference w:type="default" r:id="rId8"/>
      <w:footerReference w:type="default" r:id="rId9"/>
      <w:pgSz w:w="11907" w:h="16840"/>
      <w:pgMar w:top="1440" w:right="567" w:bottom="1440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E53C" w14:textId="77777777" w:rsidR="0087498D" w:rsidRDefault="0087498D" w:rsidP="00CD1EF5">
      <w:r>
        <w:separator/>
      </w:r>
    </w:p>
  </w:endnote>
  <w:endnote w:type="continuationSeparator" w:id="0">
    <w:p w14:paraId="538C0DF1" w14:textId="77777777" w:rsidR="0087498D" w:rsidRDefault="0087498D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6968" w14:textId="77777777" w:rsidR="0087498D" w:rsidRDefault="0087498D" w:rsidP="00CD1EF5">
      <w:r>
        <w:separator/>
      </w:r>
    </w:p>
  </w:footnote>
  <w:footnote w:type="continuationSeparator" w:id="0">
    <w:p w14:paraId="00B5CCEE" w14:textId="77777777" w:rsidR="0087498D" w:rsidRDefault="0087498D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498D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11B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67712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C7FAF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44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082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2F41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44</cp:revision>
  <cp:lastPrinted>2023-08-17T20:50:00Z</cp:lastPrinted>
  <dcterms:created xsi:type="dcterms:W3CDTF">2018-04-19T19:23:00Z</dcterms:created>
  <dcterms:modified xsi:type="dcterms:W3CDTF">2023-08-17T20:50:00Z</dcterms:modified>
</cp:coreProperties>
</file>